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2CE9B" w14:textId="49A5BF50" w:rsidR="00267103" w:rsidRDefault="007456FD" w:rsidP="00BE7692">
      <w:pPr>
        <w:rPr>
          <w:rFonts w:cstheme="minorHAnsi"/>
          <w:b/>
          <w:u w:val="single"/>
        </w:rPr>
      </w:pPr>
      <w:bookmarkStart w:id="0" w:name="_GoBack"/>
      <w:bookmarkEnd w:id="0"/>
      <w:r w:rsidRPr="0055222E">
        <w:rPr>
          <w:rFonts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3413B83" wp14:editId="2B45394E">
                <wp:simplePos x="0" y="0"/>
                <wp:positionH relativeFrom="column">
                  <wp:posOffset>5553075</wp:posOffset>
                </wp:positionH>
                <wp:positionV relativeFrom="paragraph">
                  <wp:posOffset>151765</wp:posOffset>
                </wp:positionV>
                <wp:extent cx="4448810" cy="1630045"/>
                <wp:effectExtent l="0" t="0" r="279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163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96BDA" w14:textId="2A587A42" w:rsidR="0055222E" w:rsidRPr="0055222E" w:rsidRDefault="0055222E" w:rsidP="00E2586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5222E">
                              <w:rPr>
                                <w:b/>
                                <w:u w:val="single"/>
                              </w:rPr>
                              <w:t xml:space="preserve">Purpose, Audience and </w:t>
                            </w:r>
                            <w:r w:rsidR="001005E6">
                              <w:rPr>
                                <w:b/>
                                <w:u w:val="single"/>
                              </w:rPr>
                              <w:t>Register</w:t>
                            </w:r>
                          </w:p>
                          <w:p w14:paraId="469EE904" w14:textId="37FA5E73" w:rsidR="00205330" w:rsidRDefault="0055222E" w:rsidP="00E25860">
                            <w:pPr>
                              <w:shd w:val="clear" w:color="auto" w:fill="F7CAAC" w:themeFill="accent2" w:themeFillTint="66"/>
                            </w:pPr>
                            <w:r w:rsidRPr="00971DD2">
                              <w:rPr>
                                <w:b/>
                              </w:rPr>
                              <w:t>Purpose</w:t>
                            </w:r>
                            <w:r w:rsidRPr="00971DD2">
                              <w:t xml:space="preserve"> = </w:t>
                            </w:r>
                            <w:r w:rsidR="00BF6EAA" w:rsidRPr="00971DD2">
                              <w:t xml:space="preserve">The purpose is to </w:t>
                            </w:r>
                            <w:r w:rsidR="00694442">
                              <w:t xml:space="preserve">describe </w:t>
                            </w:r>
                            <w:r w:rsidR="00BF6EAA" w:rsidRPr="00971DD2">
                              <w:t xml:space="preserve">Scrooge’s first encounter with the Ghost of Christmas </w:t>
                            </w:r>
                            <w:r w:rsidR="00971DD2" w:rsidRPr="00971DD2">
                              <w:t>Past</w:t>
                            </w:r>
                            <w:r w:rsidR="00694442">
                              <w:t>.</w:t>
                            </w:r>
                          </w:p>
                          <w:p w14:paraId="21195C0D" w14:textId="05F77B4C" w:rsidR="007456FD" w:rsidRDefault="0055222E" w:rsidP="00E25860">
                            <w:pPr>
                              <w:shd w:val="clear" w:color="auto" w:fill="F7CAAC" w:themeFill="accent2" w:themeFillTint="66"/>
                            </w:pPr>
                            <w:r w:rsidRPr="00E25860">
                              <w:rPr>
                                <w:b/>
                              </w:rPr>
                              <w:t>Audience</w:t>
                            </w:r>
                            <w:r>
                              <w:t xml:space="preserve"> = </w:t>
                            </w:r>
                            <w:r w:rsidR="00AC1C70">
                              <w:t>The audience is s</w:t>
                            </w:r>
                            <w:r w:rsidR="00971DD2">
                              <w:t>omeone</w:t>
                            </w:r>
                            <w:r w:rsidR="007456FD">
                              <w:t xml:space="preserve"> </w:t>
                            </w:r>
                            <w:r w:rsidR="00971DD2">
                              <w:t>intrigued</w:t>
                            </w:r>
                            <w:r w:rsidR="007456FD">
                              <w:t xml:space="preserve"> to know </w:t>
                            </w:r>
                            <w:r w:rsidR="00971DD2">
                              <w:t>about Scrooge’s perspective of his encounter with the Ghost of</w:t>
                            </w:r>
                            <w:r w:rsidR="007456FD">
                              <w:t xml:space="preserve"> </w:t>
                            </w:r>
                            <w:r w:rsidR="00971DD2">
                              <w:t>Christmas</w:t>
                            </w:r>
                            <w:r w:rsidR="007456FD">
                              <w:t xml:space="preserve"> Pa</w:t>
                            </w:r>
                            <w:r w:rsidR="00971DD2">
                              <w:t>s</w:t>
                            </w:r>
                            <w:r w:rsidR="007456FD">
                              <w:t>t</w:t>
                            </w:r>
                            <w:r w:rsidR="00883C4E">
                              <w:t xml:space="preserve">. </w:t>
                            </w:r>
                          </w:p>
                          <w:p w14:paraId="19D33B48" w14:textId="3A0AA291" w:rsidR="0055222E" w:rsidRDefault="001005E6" w:rsidP="00E25860">
                            <w:pPr>
                              <w:shd w:val="clear" w:color="auto" w:fill="F7CAAC" w:themeFill="accent2" w:themeFillTint="66"/>
                            </w:pPr>
                            <w:r>
                              <w:rPr>
                                <w:b/>
                              </w:rPr>
                              <w:t>Levels of Formality</w:t>
                            </w:r>
                            <w:r w:rsidR="0055222E">
                              <w:t xml:space="preserve"> = </w:t>
                            </w:r>
                            <w:r w:rsidR="00A737D3">
                              <w:t xml:space="preserve">An informal </w:t>
                            </w:r>
                            <w:r>
                              <w:t>register</w:t>
                            </w:r>
                            <w:r w:rsidR="00A737D3">
                              <w:t xml:space="preserve"> </w:t>
                            </w:r>
                            <w:r w:rsidR="00BF6EAA">
                              <w:t xml:space="preserve">will be used.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3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5pt;margin-top:11.95pt;width:350.3pt;height:128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" fillcolor="white [3212]" strokecolor="black [3213]">
                <v:textbox>
                  <w:txbxContent>
                    <w:p w14:paraId="4AA96BDA" w14:textId="2A587A42" w:rsidR="0055222E" w:rsidRPr="0055222E" w:rsidRDefault="0055222E" w:rsidP="00E25860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u w:val="single"/>
                        </w:rPr>
                      </w:pPr>
                      <w:r w:rsidRPr="0055222E">
                        <w:rPr>
                          <w:b/>
                          <w:u w:val="single"/>
                        </w:rPr>
                        <w:t xml:space="preserve">Purpose, Audience and </w:t>
                      </w:r>
                      <w:r w:rsidR="001005E6">
                        <w:rPr>
                          <w:b/>
                          <w:u w:val="single"/>
                        </w:rPr>
                        <w:t>Register</w:t>
                      </w:r>
                    </w:p>
                    <w:p w14:paraId="469EE904" w14:textId="37FA5E73" w:rsidR="00205330" w:rsidRDefault="0055222E" w:rsidP="00E25860">
                      <w:pPr>
                        <w:shd w:val="clear" w:color="auto" w:fill="F7CAAC" w:themeFill="accent2" w:themeFillTint="66"/>
                      </w:pPr>
                      <w:r w:rsidRPr="00971DD2">
                        <w:rPr>
                          <w:b/>
                        </w:rPr>
                        <w:t>Purpose</w:t>
                      </w:r>
                      <w:r w:rsidRPr="00971DD2">
                        <w:t xml:space="preserve"> = </w:t>
                      </w:r>
                      <w:r w:rsidR="00BF6EAA" w:rsidRPr="00971DD2">
                        <w:t xml:space="preserve">The purpose is to </w:t>
                      </w:r>
                      <w:r w:rsidR="00694442">
                        <w:t xml:space="preserve">describe </w:t>
                      </w:r>
                      <w:r w:rsidR="00BF6EAA" w:rsidRPr="00971DD2">
                        <w:t xml:space="preserve">Scrooge’s first encounter with the Ghost of Christmas </w:t>
                      </w:r>
                      <w:r w:rsidR="00971DD2" w:rsidRPr="00971DD2">
                        <w:t>Past</w:t>
                      </w:r>
                      <w:r w:rsidR="00694442">
                        <w:t>.</w:t>
                      </w:r>
                    </w:p>
                    <w:p w14:paraId="21195C0D" w14:textId="05F77B4C" w:rsidR="007456FD" w:rsidRDefault="0055222E" w:rsidP="00E25860">
                      <w:pPr>
                        <w:shd w:val="clear" w:color="auto" w:fill="F7CAAC" w:themeFill="accent2" w:themeFillTint="66"/>
                      </w:pPr>
                      <w:r w:rsidRPr="00E25860">
                        <w:rPr>
                          <w:b/>
                        </w:rPr>
                        <w:t>Audience</w:t>
                      </w:r>
                      <w:r>
                        <w:t xml:space="preserve"> = </w:t>
                      </w:r>
                      <w:r w:rsidR="00AC1C70">
                        <w:t>The audience is s</w:t>
                      </w:r>
                      <w:r w:rsidR="00971DD2">
                        <w:t>omeone</w:t>
                      </w:r>
                      <w:r w:rsidR="007456FD">
                        <w:t xml:space="preserve"> </w:t>
                      </w:r>
                      <w:r w:rsidR="00971DD2">
                        <w:t>intrigued</w:t>
                      </w:r>
                      <w:r w:rsidR="007456FD">
                        <w:t xml:space="preserve"> to know </w:t>
                      </w:r>
                      <w:r w:rsidR="00971DD2">
                        <w:t>about Scrooge’s perspective of his encounter with the Ghost of</w:t>
                      </w:r>
                      <w:r w:rsidR="007456FD">
                        <w:t xml:space="preserve"> </w:t>
                      </w:r>
                      <w:r w:rsidR="00971DD2">
                        <w:t>Christmas</w:t>
                      </w:r>
                      <w:r w:rsidR="007456FD">
                        <w:t xml:space="preserve"> Pa</w:t>
                      </w:r>
                      <w:r w:rsidR="00971DD2">
                        <w:t>s</w:t>
                      </w:r>
                      <w:r w:rsidR="007456FD">
                        <w:t>t</w:t>
                      </w:r>
                      <w:r w:rsidR="00883C4E">
                        <w:t xml:space="preserve">. </w:t>
                      </w:r>
                    </w:p>
                    <w:p w14:paraId="19D33B48" w14:textId="3A0AA291" w:rsidR="0055222E" w:rsidRDefault="001005E6" w:rsidP="00E25860">
                      <w:pPr>
                        <w:shd w:val="clear" w:color="auto" w:fill="F7CAAC" w:themeFill="accent2" w:themeFillTint="66"/>
                      </w:pPr>
                      <w:r>
                        <w:rPr>
                          <w:b/>
                        </w:rPr>
                        <w:t>Levels of Formality</w:t>
                      </w:r>
                      <w:r w:rsidR="0055222E">
                        <w:t xml:space="preserve"> = </w:t>
                      </w:r>
                      <w:r w:rsidR="00A737D3">
                        <w:t xml:space="preserve">An informal </w:t>
                      </w:r>
                      <w:r>
                        <w:t>register</w:t>
                      </w:r>
                      <w:r w:rsidR="00A737D3">
                        <w:t xml:space="preserve"> </w:t>
                      </w:r>
                      <w:r w:rsidR="00BF6EAA">
                        <w:t xml:space="preserve">will be used.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621">
        <w:rPr>
          <w:rFonts w:cstheme="minorHAnsi"/>
          <w:b/>
          <w:noProof/>
          <w:u w:val="single"/>
        </w:rPr>
        <w:object w:dxaOrig="1440" w:dyaOrig="1440" w14:anchorId="0C6BF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.75pt;margin-top:8pt;width:48.15pt;height:59.85pt;z-index:-251657728;mso-position-horizontal-relative:text;mso-position-vertical-relative:text" wrapcoords="-260 0 -260 21390 21600 21390 21600 0 -260 0">
            <v:imagedata r:id="rId5" o:title=""/>
            <w10:wrap type="tight"/>
          </v:shape>
          <o:OLEObject Type="Embed" ProgID="Unknown" ShapeID="_x0000_s1026" DrawAspect="Content" ObjectID="_1734443505" r:id="rId6"/>
        </w:object>
      </w:r>
      <w:r w:rsidR="0085587C" w:rsidRPr="001035DA">
        <w:rPr>
          <w:rFonts w:cstheme="minorHAnsi"/>
          <w:b/>
          <w:noProof/>
          <w:sz w:val="14"/>
          <w:szCs w:val="14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E1D4E0" wp14:editId="3CF0932D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1293495" cy="1752600"/>
                <wp:effectExtent l="0" t="0" r="2095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B880" w14:textId="3D19B698" w:rsidR="001035DA" w:rsidRDefault="0085587C" w:rsidP="001035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EAD14" wp14:editId="1F464A42">
                                  <wp:extent cx="1101725" cy="1658620"/>
                                  <wp:effectExtent l="0" t="0" r="3175" b="0"/>
                                  <wp:docPr id="1" name="Picture 1" descr="C:\Users\lmondal\AppData\Local\Microsoft\Windows\INetCache\Content.MSO\DFE257DC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lmondal\AppData\Local\Microsoft\Windows\INetCache\Content.MSO\DFE257DC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725" cy="1658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4A6BD8" w14:textId="44BB7C9C" w:rsidR="001035DA" w:rsidRDefault="001035DA" w:rsidP="001035DA">
                            <w:pPr>
                              <w:jc w:val="center"/>
                            </w:pPr>
                          </w:p>
                          <w:p w14:paraId="3A901D8F" w14:textId="7683E0EF" w:rsidR="001035DA" w:rsidRDefault="001035DA" w:rsidP="001035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D4E0" id="_x0000_s1027" type="#_x0000_t202" style="position:absolute;margin-left:324pt;margin-top:6pt;width:101.85pt;height:13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UVJwIAAEw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">
                <v:textbox>
                  <w:txbxContent>
                    <w:p w14:paraId="640CB880" w14:textId="3D19B698" w:rsidR="001035DA" w:rsidRDefault="0085587C" w:rsidP="001035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7EAD14" wp14:editId="1F464A42">
                            <wp:extent cx="1101725" cy="1658620"/>
                            <wp:effectExtent l="0" t="0" r="3175" b="0"/>
                            <wp:docPr id="1" name="Picture 1" descr="C:\Users\lmondal\AppData\Local\Microsoft\Windows\INetCache\Content.MSO\DFE257DC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lmondal\AppData\Local\Microsoft\Windows\INetCache\Content.MSO\DFE257DC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725" cy="1658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4A6BD8" w14:textId="44BB7C9C" w:rsidR="001035DA" w:rsidRDefault="001035DA" w:rsidP="001035DA">
                      <w:pPr>
                        <w:jc w:val="center"/>
                      </w:pPr>
                    </w:p>
                    <w:p w14:paraId="3A901D8F" w14:textId="7683E0EF" w:rsidR="001035DA" w:rsidRDefault="001035DA" w:rsidP="001035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78DCB" w14:textId="780827F3" w:rsidR="00866D32" w:rsidRPr="00F51A81" w:rsidRDefault="00AB3616" w:rsidP="00395EB2">
      <w:pPr>
        <w:spacing w:line="240" w:lineRule="auto"/>
        <w:rPr>
          <w:rFonts w:cstheme="minorHAnsi"/>
          <w:b/>
          <w:u w:val="single"/>
        </w:rPr>
      </w:pPr>
      <w:r w:rsidRPr="00BE7692">
        <w:rPr>
          <w:rFonts w:cstheme="minorHAnsi"/>
          <w:b/>
          <w:u w:val="single"/>
        </w:rPr>
        <w:t xml:space="preserve">Crofton Junior </w:t>
      </w:r>
      <w:r w:rsidRPr="00F51A81">
        <w:rPr>
          <w:rFonts w:cstheme="minorHAnsi"/>
          <w:b/>
          <w:u w:val="single"/>
        </w:rPr>
        <w:t xml:space="preserve">School </w:t>
      </w:r>
    </w:p>
    <w:p w14:paraId="3C477A3D" w14:textId="5D4BEDE9" w:rsidR="001B7F58" w:rsidRDefault="007C7FFE" w:rsidP="00395EB2">
      <w:pPr>
        <w:spacing w:line="240" w:lineRule="auto"/>
        <w:rPr>
          <w:rFonts w:cstheme="minorHAnsi"/>
          <w:b/>
          <w:u w:val="single"/>
        </w:rPr>
      </w:pPr>
      <w:r w:rsidRPr="00F51A81">
        <w:rPr>
          <w:rFonts w:cstheme="minorHAnsi"/>
          <w:b/>
          <w:u w:val="single"/>
        </w:rPr>
        <w:t>English</w:t>
      </w:r>
      <w:r w:rsidR="001B7F58" w:rsidRPr="00F51A81">
        <w:rPr>
          <w:rFonts w:cstheme="minorHAnsi"/>
          <w:b/>
          <w:u w:val="single"/>
        </w:rPr>
        <w:t xml:space="preserve"> </w:t>
      </w:r>
      <w:r w:rsidR="00AB3616" w:rsidRPr="00F51A81">
        <w:rPr>
          <w:rFonts w:cstheme="minorHAnsi"/>
          <w:b/>
          <w:u w:val="single"/>
        </w:rPr>
        <w:t>Knowledge Organiser</w:t>
      </w:r>
      <w:r w:rsidR="00866D32" w:rsidRPr="00F51A81">
        <w:rPr>
          <w:rFonts w:cstheme="minorHAnsi"/>
          <w:b/>
          <w:u w:val="single"/>
        </w:rPr>
        <w:t xml:space="preserve"> </w:t>
      </w:r>
      <w:r w:rsidR="00395EB2" w:rsidRPr="00F51A81">
        <w:rPr>
          <w:rFonts w:cstheme="minorHAnsi"/>
          <w:b/>
          <w:u w:val="single"/>
        </w:rPr>
        <w:t xml:space="preserve">Year </w:t>
      </w:r>
      <w:r w:rsidR="009B221D" w:rsidRPr="00F51A81">
        <w:rPr>
          <w:rFonts w:cstheme="minorHAnsi"/>
          <w:b/>
          <w:u w:val="single"/>
        </w:rPr>
        <w:t>4</w:t>
      </w:r>
      <w:r w:rsidR="00395EB2" w:rsidRPr="00F51A81">
        <w:rPr>
          <w:rFonts w:cstheme="minorHAnsi"/>
          <w:b/>
          <w:u w:val="single"/>
        </w:rPr>
        <w:t xml:space="preserve"> </w:t>
      </w:r>
      <w:r w:rsidR="009B221D" w:rsidRPr="00F51A81">
        <w:rPr>
          <w:rFonts w:cstheme="minorHAnsi"/>
          <w:b/>
          <w:u w:val="single"/>
        </w:rPr>
        <w:t>= Autumn 2</w:t>
      </w:r>
      <w:r w:rsidR="00F51A81" w:rsidRPr="00F51A81">
        <w:rPr>
          <w:rFonts w:cstheme="minorHAnsi"/>
          <w:b/>
          <w:u w:val="single"/>
        </w:rPr>
        <w:t xml:space="preserve"> (Unit </w:t>
      </w:r>
      <w:r w:rsidR="00967A15">
        <w:rPr>
          <w:rFonts w:cstheme="minorHAnsi"/>
          <w:b/>
          <w:u w:val="single"/>
        </w:rPr>
        <w:t>3</w:t>
      </w:r>
      <w:r w:rsidR="00F51A81" w:rsidRPr="00F51A81">
        <w:rPr>
          <w:rFonts w:cstheme="minorHAnsi"/>
          <w:b/>
          <w:u w:val="single"/>
        </w:rPr>
        <w:t>)</w:t>
      </w:r>
      <w:r w:rsidR="009716B8" w:rsidRPr="00F51A81">
        <w:rPr>
          <w:rFonts w:cstheme="minorHAnsi"/>
          <w:b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="-318" w:tblpY="135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F778B2" w14:paraId="54308C53" w14:textId="77777777" w:rsidTr="001035DA">
        <w:tc>
          <w:tcPr>
            <w:tcW w:w="2093" w:type="dxa"/>
            <w:shd w:val="clear" w:color="auto" w:fill="F7CAAC" w:themeFill="accent2" w:themeFillTint="66"/>
          </w:tcPr>
          <w:p w14:paraId="1497F7C2" w14:textId="77777777" w:rsidR="00F778B2" w:rsidRPr="007A0FBF" w:rsidRDefault="00F778B2" w:rsidP="00F778B2">
            <w:pPr>
              <w:rPr>
                <w:rFonts w:cstheme="minorHAnsi"/>
                <w:b/>
              </w:rPr>
            </w:pPr>
            <w:r w:rsidRPr="007A0FBF">
              <w:rPr>
                <w:rFonts w:cstheme="minorHAnsi"/>
                <w:b/>
              </w:rPr>
              <w:t>Unit of Work</w:t>
            </w:r>
          </w:p>
        </w:tc>
        <w:tc>
          <w:tcPr>
            <w:tcW w:w="4536" w:type="dxa"/>
          </w:tcPr>
          <w:p w14:paraId="25088DB1" w14:textId="404BBFB6" w:rsidR="00F778B2" w:rsidRPr="007A0FBF" w:rsidRDefault="00971DD2" w:rsidP="00F778B2">
            <w:pPr>
              <w:rPr>
                <w:rFonts w:cstheme="minorHAnsi"/>
              </w:rPr>
            </w:pPr>
            <w:r w:rsidRPr="00694442">
              <w:rPr>
                <w:rFonts w:cstheme="minorHAnsi"/>
              </w:rPr>
              <w:t xml:space="preserve">A </w:t>
            </w:r>
            <w:r w:rsidR="00694442" w:rsidRPr="00694442">
              <w:rPr>
                <w:rFonts w:cstheme="minorHAnsi"/>
              </w:rPr>
              <w:t xml:space="preserve">descriptive </w:t>
            </w:r>
            <w:r w:rsidR="008B14EC" w:rsidRPr="00694442">
              <w:rPr>
                <w:rFonts w:cstheme="minorHAnsi"/>
              </w:rPr>
              <w:t xml:space="preserve">recount </w:t>
            </w:r>
            <w:r w:rsidR="00BC287F" w:rsidRPr="00694442">
              <w:rPr>
                <w:rFonts w:cstheme="minorHAnsi"/>
              </w:rPr>
              <w:t>from the perspective of Scrooge</w:t>
            </w:r>
          </w:p>
        </w:tc>
      </w:tr>
      <w:tr w:rsidR="00F778B2" w14:paraId="2776C6A2" w14:textId="77777777" w:rsidTr="001035DA">
        <w:tc>
          <w:tcPr>
            <w:tcW w:w="2093" w:type="dxa"/>
            <w:shd w:val="clear" w:color="auto" w:fill="F7CAAC" w:themeFill="accent2" w:themeFillTint="66"/>
          </w:tcPr>
          <w:p w14:paraId="658441DD" w14:textId="0F01B769" w:rsidR="00F778B2" w:rsidRPr="007A0FBF" w:rsidRDefault="003A7EC8" w:rsidP="00F778B2">
            <w:pPr>
              <w:rPr>
                <w:rFonts w:cstheme="minorHAnsi"/>
                <w:b/>
              </w:rPr>
            </w:pPr>
            <w:r w:rsidRPr="007A0FBF">
              <w:rPr>
                <w:rFonts w:cstheme="minorHAnsi"/>
                <w:b/>
              </w:rPr>
              <w:t>Text Type / Genre</w:t>
            </w:r>
          </w:p>
        </w:tc>
        <w:tc>
          <w:tcPr>
            <w:tcW w:w="4536" w:type="dxa"/>
          </w:tcPr>
          <w:p w14:paraId="1DDFA2D7" w14:textId="52067AFD" w:rsidR="00F778B2" w:rsidRPr="007A0FBF" w:rsidRDefault="009B221D" w:rsidP="00F778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Fiction – Narrative (Description) </w:t>
            </w:r>
          </w:p>
        </w:tc>
      </w:tr>
      <w:tr w:rsidR="00F778B2" w14:paraId="69D6E259" w14:textId="77777777" w:rsidTr="001035DA">
        <w:tc>
          <w:tcPr>
            <w:tcW w:w="2093" w:type="dxa"/>
            <w:shd w:val="clear" w:color="auto" w:fill="F7CAAC" w:themeFill="accent2" w:themeFillTint="66"/>
          </w:tcPr>
          <w:p w14:paraId="12AEF4FE" w14:textId="103FDC19" w:rsidR="00F778B2" w:rsidRPr="007A0FBF" w:rsidRDefault="003A7EC8" w:rsidP="00F778B2">
            <w:pPr>
              <w:rPr>
                <w:rFonts w:cstheme="minorHAnsi"/>
                <w:b/>
              </w:rPr>
            </w:pPr>
            <w:r w:rsidRPr="007A0FBF">
              <w:rPr>
                <w:rFonts w:cstheme="minorHAnsi"/>
                <w:b/>
              </w:rPr>
              <w:t xml:space="preserve">Text Driver the Unit of Work </w:t>
            </w:r>
            <w:r w:rsidR="00E718F3">
              <w:rPr>
                <w:rFonts w:cstheme="minorHAnsi"/>
                <w:b/>
              </w:rPr>
              <w:t>l</w:t>
            </w:r>
            <w:r w:rsidRPr="007A0FBF">
              <w:rPr>
                <w:rFonts w:cstheme="minorHAnsi"/>
                <w:b/>
              </w:rPr>
              <w:t xml:space="preserve">inks </w:t>
            </w:r>
            <w:r w:rsidR="00E718F3">
              <w:rPr>
                <w:rFonts w:cstheme="minorHAnsi"/>
                <w:b/>
              </w:rPr>
              <w:t>t</w:t>
            </w:r>
            <w:r w:rsidRPr="007A0FBF">
              <w:rPr>
                <w:rFonts w:cstheme="minorHAnsi"/>
                <w:b/>
              </w:rPr>
              <w:t>o</w:t>
            </w:r>
          </w:p>
        </w:tc>
        <w:tc>
          <w:tcPr>
            <w:tcW w:w="4536" w:type="dxa"/>
          </w:tcPr>
          <w:p w14:paraId="5CF97A54" w14:textId="4BB888F5" w:rsidR="00F778B2" w:rsidRPr="007A0FBF" w:rsidRDefault="009B221D" w:rsidP="00F778B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Christmas Carol by Charles Dickens (retold Gill </w:t>
            </w:r>
            <w:proofErr w:type="spellStart"/>
            <w:r>
              <w:rPr>
                <w:rFonts w:cstheme="minorHAnsi"/>
              </w:rPr>
              <w:t>Tavner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</w:tr>
    </w:tbl>
    <w:p w14:paraId="3D205B06" w14:textId="328DB055" w:rsidR="001035DA" w:rsidRPr="00C36FEB" w:rsidRDefault="001035DA" w:rsidP="00BE7692">
      <w:pPr>
        <w:rPr>
          <w:rFonts w:cstheme="minorHAnsi"/>
          <w:b/>
          <w:sz w:val="14"/>
          <w:szCs w:val="14"/>
          <w:u w:val="single"/>
        </w:rPr>
      </w:pPr>
    </w:p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1331"/>
        <w:gridCol w:w="14830"/>
      </w:tblGrid>
      <w:tr w:rsidR="00DB565B" w:rsidRPr="00866D32" w14:paraId="5974276D" w14:textId="77777777" w:rsidTr="00DB565B">
        <w:trPr>
          <w:trHeight w:val="1931"/>
        </w:trPr>
        <w:tc>
          <w:tcPr>
            <w:tcW w:w="1318" w:type="dxa"/>
            <w:shd w:val="clear" w:color="auto" w:fill="F7CAAC" w:themeFill="accent2" w:themeFillTint="66"/>
          </w:tcPr>
          <w:p w14:paraId="6AA52123" w14:textId="77777777" w:rsidR="00DB565B" w:rsidRDefault="00DB565B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Overview of the Unit of Work</w:t>
            </w:r>
            <w:r>
              <w:rPr>
                <w:rFonts w:cstheme="minorHAnsi"/>
                <w:b/>
              </w:rPr>
              <w:t xml:space="preserve"> including End of Unit Outcome</w:t>
            </w:r>
          </w:p>
          <w:p w14:paraId="0A4075CD" w14:textId="3A33A747" w:rsidR="00DB565B" w:rsidRPr="00866D32" w:rsidRDefault="00DB565B" w:rsidP="00AB36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43" w:type="dxa"/>
          </w:tcPr>
          <w:p w14:paraId="5851E968" w14:textId="6320ACDB" w:rsidR="00DB565B" w:rsidRPr="00866D32" w:rsidRDefault="000856C5" w:rsidP="00FD18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will recall their grammatical knowledge of adverbs from Year 3. Pupils will learn about the use of adverbials </w:t>
            </w:r>
            <w:r w:rsidR="00795AAE">
              <w:rPr>
                <w:rFonts w:cstheme="minorHAnsi"/>
              </w:rPr>
              <w:t xml:space="preserve">and fronted adverbials and use application tasks linked to the text driver ‘A Christmas Carol’ to embed these skills. They will study the part of the text when Scrooge encounters a visit from </w:t>
            </w:r>
            <w:r w:rsidR="00795AAE" w:rsidRPr="004A2C04">
              <w:rPr>
                <w:rFonts w:cstheme="minorHAnsi"/>
              </w:rPr>
              <w:t xml:space="preserve">The Ghost of Christmas </w:t>
            </w:r>
            <w:r w:rsidR="00971DD2" w:rsidRPr="004A2C04">
              <w:rPr>
                <w:rFonts w:cstheme="minorHAnsi"/>
              </w:rPr>
              <w:t>Pas</w:t>
            </w:r>
            <w:r w:rsidR="004A2C04">
              <w:rPr>
                <w:rFonts w:cstheme="minorHAnsi"/>
              </w:rPr>
              <w:t xml:space="preserve">t and focus on </w:t>
            </w:r>
            <w:r w:rsidR="00FD184D">
              <w:rPr>
                <w:rFonts w:cstheme="minorHAnsi"/>
              </w:rPr>
              <w:t xml:space="preserve">describing the appearance of the ghost. </w:t>
            </w:r>
            <w:r w:rsidR="00971DD2" w:rsidRPr="004A2C04">
              <w:rPr>
                <w:rFonts w:cstheme="minorHAnsi"/>
              </w:rPr>
              <w:t xml:space="preserve">Through hot-seating drama activities, the children will become familiar with Scrooge’s thoughts and feelings on the night the ghost visited him. </w:t>
            </w:r>
            <w:r w:rsidR="00947AAA" w:rsidRPr="004A2C04">
              <w:rPr>
                <w:rFonts w:cstheme="minorHAnsi"/>
              </w:rPr>
              <w:t>Pupils will immerse themselves in</w:t>
            </w:r>
            <w:r w:rsidRPr="004A2C04">
              <w:rPr>
                <w:rFonts w:cstheme="minorHAnsi"/>
              </w:rPr>
              <w:t xml:space="preserve"> </w:t>
            </w:r>
            <w:r w:rsidR="00947AAA" w:rsidRPr="004A2C04">
              <w:rPr>
                <w:rFonts w:cstheme="minorHAnsi"/>
              </w:rPr>
              <w:t>the character of Scrooge</w:t>
            </w:r>
            <w:r w:rsidRPr="004A2C04">
              <w:rPr>
                <w:rFonts w:cstheme="minorHAnsi"/>
              </w:rPr>
              <w:t xml:space="preserve"> and the</w:t>
            </w:r>
            <w:r>
              <w:rPr>
                <w:rFonts w:cstheme="minorHAnsi"/>
              </w:rPr>
              <w:t xml:space="preserve"> events that take place</w:t>
            </w:r>
            <w:r w:rsidR="007C1C83">
              <w:rPr>
                <w:rFonts w:cstheme="minorHAnsi"/>
              </w:rPr>
              <w:t xml:space="preserve">, </w:t>
            </w:r>
            <w:r w:rsidR="00FD184D">
              <w:rPr>
                <w:rFonts w:cstheme="minorHAnsi"/>
              </w:rPr>
              <w:t>including what happened when he was awoken</w:t>
            </w:r>
            <w:r w:rsidR="007C1C83">
              <w:rPr>
                <w:rFonts w:cstheme="minorHAnsi"/>
              </w:rPr>
              <w:t>, d</w:t>
            </w:r>
            <w:r w:rsidR="007C1C83" w:rsidRPr="007C1C83">
              <w:rPr>
                <w:rFonts w:cstheme="minorHAnsi"/>
              </w:rPr>
              <w:t xml:space="preserve">escribing how he appeared, how </w:t>
            </w:r>
            <w:r w:rsidR="007C1C83">
              <w:rPr>
                <w:rFonts w:cstheme="minorHAnsi"/>
              </w:rPr>
              <w:t xml:space="preserve">Scrooge felt </w:t>
            </w:r>
            <w:r w:rsidR="007C1C83" w:rsidRPr="007C1C83">
              <w:rPr>
                <w:rFonts w:cstheme="minorHAnsi"/>
              </w:rPr>
              <w:t>and what</w:t>
            </w:r>
            <w:r w:rsidR="007C1C83">
              <w:rPr>
                <w:rFonts w:cstheme="minorHAnsi"/>
              </w:rPr>
              <w:t xml:space="preserve"> the ghost l</w:t>
            </w:r>
            <w:r w:rsidR="007C1C83" w:rsidRPr="007C1C83">
              <w:rPr>
                <w:rFonts w:cstheme="minorHAnsi"/>
              </w:rPr>
              <w:t>ooked like</w:t>
            </w:r>
            <w:r w:rsidR="00947AAA">
              <w:rPr>
                <w:rFonts w:cstheme="minorHAnsi"/>
              </w:rPr>
              <w:t xml:space="preserve">. They will plan and draft a </w:t>
            </w:r>
            <w:r w:rsidR="00694442">
              <w:rPr>
                <w:rFonts w:cstheme="minorHAnsi"/>
              </w:rPr>
              <w:t xml:space="preserve">recount from the perspective of Scrooge which includes a character description of The Ghost of Christmas Past. </w:t>
            </w:r>
            <w:r w:rsidR="00D25447" w:rsidRPr="00D25447">
              <w:rPr>
                <w:rFonts w:cstheme="minorHAnsi"/>
              </w:rPr>
              <w:t xml:space="preserve">Pupils will reflect upon their initial draft and begin to make purposeful edits to up level this further with a particular focus on </w:t>
            </w:r>
            <w:r>
              <w:rPr>
                <w:rFonts w:cstheme="minorHAnsi"/>
              </w:rPr>
              <w:t>fronted adverbials, expanded noun phrases</w:t>
            </w:r>
            <w:r w:rsidR="0069444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subordinating conjunctions </w:t>
            </w:r>
            <w:r w:rsidR="00694442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ambitious vocabulary</w:t>
            </w:r>
            <w:r w:rsidR="00694442">
              <w:rPr>
                <w:rFonts w:cstheme="minorHAnsi"/>
              </w:rPr>
              <w:t>. Pupils will continue to develop their</w:t>
            </w:r>
            <w:r w:rsidR="00D25447" w:rsidRPr="00D25447">
              <w:rPr>
                <w:rFonts w:cstheme="minorHAnsi"/>
              </w:rPr>
              <w:t xml:space="preserve"> knowledge of proof reading to proof read for spelling, punctuation and grammatical errors.  </w:t>
            </w:r>
          </w:p>
        </w:tc>
      </w:tr>
      <w:tr w:rsidR="00DB565B" w:rsidRPr="00866D32" w14:paraId="5A436856" w14:textId="77777777" w:rsidTr="00DB565B">
        <w:trPr>
          <w:trHeight w:val="200"/>
        </w:trPr>
        <w:tc>
          <w:tcPr>
            <w:tcW w:w="1318" w:type="dxa"/>
            <w:shd w:val="clear" w:color="auto" w:fill="F7CAAC" w:themeFill="accent2" w:themeFillTint="66"/>
          </w:tcPr>
          <w:p w14:paraId="3EDC427D" w14:textId="3ACCF8D4" w:rsidR="00DB565B" w:rsidRPr="000B0802" w:rsidRDefault="00AC0D70" w:rsidP="00AB3616">
            <w:pPr>
              <w:jc w:val="center"/>
              <w:rPr>
                <w:rFonts w:cstheme="minorHAnsi"/>
                <w:b/>
              </w:rPr>
            </w:pPr>
            <w:r w:rsidRPr="000B0802">
              <w:rPr>
                <w:rFonts w:cstheme="minorHAnsi"/>
                <w:b/>
              </w:rPr>
              <w:t>Links to Reading Objectives</w:t>
            </w:r>
          </w:p>
        </w:tc>
        <w:tc>
          <w:tcPr>
            <w:tcW w:w="14843" w:type="dxa"/>
          </w:tcPr>
          <w:p w14:paraId="22EF880F" w14:textId="34958F8D" w:rsidR="00DB565B" w:rsidRDefault="000856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Pupils will use their retrieval and inference skills to explore the characters, Scrooge and The Ghost of Christmas </w:t>
            </w:r>
            <w:r w:rsidR="00971DD2">
              <w:rPr>
                <w:rFonts w:cstheme="minorHAnsi"/>
              </w:rPr>
              <w:t>Past</w:t>
            </w:r>
            <w:r w:rsidR="00694442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They will explore the meaning of words and also analyse the characters</w:t>
            </w:r>
            <w:r w:rsidR="00883C4E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 thoughts, feelings and actions within the text. </w:t>
            </w:r>
          </w:p>
        </w:tc>
      </w:tr>
      <w:tr w:rsidR="000B194D" w:rsidRPr="00866D32" w14:paraId="746D7D99" w14:textId="77777777" w:rsidTr="000B194D">
        <w:trPr>
          <w:trHeight w:val="805"/>
        </w:trPr>
        <w:tc>
          <w:tcPr>
            <w:tcW w:w="1318" w:type="dxa"/>
            <w:shd w:val="clear" w:color="auto" w:fill="F7CAAC" w:themeFill="accent2" w:themeFillTint="66"/>
          </w:tcPr>
          <w:p w14:paraId="581968F9" w14:textId="66E81864" w:rsidR="000B194D" w:rsidRDefault="000B194D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Prior Learning</w:t>
            </w:r>
          </w:p>
          <w:p w14:paraId="70FC97FB" w14:textId="255F685A" w:rsidR="000B194D" w:rsidRDefault="000B194D" w:rsidP="000B194D">
            <w:pPr>
              <w:rPr>
                <w:rFonts w:cstheme="minorHAnsi"/>
              </w:rPr>
            </w:pPr>
          </w:p>
          <w:p w14:paraId="58331B63" w14:textId="77777777" w:rsidR="000B194D" w:rsidRPr="000B194D" w:rsidRDefault="000B194D" w:rsidP="000B194D">
            <w:pPr>
              <w:rPr>
                <w:rFonts w:cstheme="minorHAnsi"/>
              </w:rPr>
            </w:pPr>
          </w:p>
        </w:tc>
        <w:tc>
          <w:tcPr>
            <w:tcW w:w="14843" w:type="dxa"/>
          </w:tcPr>
          <w:p w14:paraId="5DE21ED9" w14:textId="2DBDB230" w:rsidR="000B194D" w:rsidRPr="004F541A" w:rsidRDefault="000B194D" w:rsidP="00804C77">
            <w:pPr>
              <w:spacing w:line="276" w:lineRule="auto"/>
              <w:rPr>
                <w:rFonts w:cstheme="minorHAnsi"/>
                <w:u w:val="single"/>
              </w:rPr>
            </w:pPr>
            <w:r w:rsidRPr="004F541A">
              <w:rPr>
                <w:rFonts w:cstheme="minorHAnsi"/>
                <w:u w:val="single"/>
              </w:rPr>
              <w:t xml:space="preserve">Vocabulary, Grammar and Punctuation Knowledge: </w:t>
            </w:r>
          </w:p>
          <w:p w14:paraId="6169944E" w14:textId="65930FDE" w:rsidR="000B194D" w:rsidRPr="000E377D" w:rsidRDefault="00E75A7F" w:rsidP="004F541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In Year 3, pupils explored the use of adverbs to express time, place and cause. </w:t>
            </w:r>
          </w:p>
          <w:p w14:paraId="337D3626" w14:textId="77777777" w:rsidR="000E377D" w:rsidRPr="000E377D" w:rsidRDefault="000E377D" w:rsidP="000E377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0E377D">
              <w:rPr>
                <w:rFonts w:cstheme="minorHAnsi"/>
              </w:rPr>
              <w:t xml:space="preserve">In Year 3, pupils used expanded noun phrases including a determiner and modifying adjectives. </w:t>
            </w:r>
          </w:p>
          <w:p w14:paraId="78D3A620" w14:textId="0792F234" w:rsidR="000E377D" w:rsidRPr="004F6108" w:rsidRDefault="004F6108" w:rsidP="004F610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 Year 3, pupils explored main and subordinate clauses and how to extend their sentences with more than one clause by using a wider range of conjunctions including when, if, because and although. </w:t>
            </w:r>
          </w:p>
          <w:p w14:paraId="769C4CBA" w14:textId="19019688" w:rsidR="000B194D" w:rsidRPr="004F541A" w:rsidRDefault="000B194D" w:rsidP="00804C77">
            <w:pPr>
              <w:spacing w:line="276" w:lineRule="auto"/>
              <w:rPr>
                <w:rFonts w:cstheme="minorHAnsi"/>
                <w:u w:val="single"/>
              </w:rPr>
            </w:pPr>
            <w:r w:rsidRPr="004F541A">
              <w:rPr>
                <w:rFonts w:cstheme="minorHAnsi"/>
                <w:u w:val="single"/>
              </w:rPr>
              <w:t xml:space="preserve">Text Type </w:t>
            </w:r>
            <w:r w:rsidR="002E5A8C">
              <w:rPr>
                <w:rFonts w:cstheme="minorHAnsi"/>
                <w:u w:val="single"/>
              </w:rPr>
              <w:t>–</w:t>
            </w:r>
            <w:r w:rsidRPr="004F541A">
              <w:rPr>
                <w:rFonts w:cstheme="minorHAnsi"/>
                <w:u w:val="single"/>
              </w:rPr>
              <w:t xml:space="preserve"> </w:t>
            </w:r>
            <w:r w:rsidR="002E5A8C">
              <w:rPr>
                <w:rFonts w:cstheme="minorHAnsi"/>
                <w:u w:val="single"/>
              </w:rPr>
              <w:t xml:space="preserve">Character description: </w:t>
            </w:r>
          </w:p>
          <w:p w14:paraId="06755E70" w14:textId="77777777" w:rsidR="000B194D" w:rsidRDefault="00831883" w:rsidP="0002784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 Year 3, pupils </w:t>
            </w:r>
            <w:r w:rsidR="00B64E81">
              <w:rPr>
                <w:rFonts w:cstheme="minorHAnsi"/>
              </w:rPr>
              <w:t>described the character of Max the hedgehog</w:t>
            </w:r>
            <w:r w:rsidR="005151CA">
              <w:rPr>
                <w:rFonts w:cstheme="minorHAnsi"/>
              </w:rPr>
              <w:t xml:space="preserve"> as part of a missing poster to inform members of the public about his disappearance so that they could help to find and return him. This was inspired by the text: The </w:t>
            </w:r>
            <w:proofErr w:type="spellStart"/>
            <w:r w:rsidR="005151CA">
              <w:rPr>
                <w:rFonts w:cstheme="minorHAnsi"/>
              </w:rPr>
              <w:t>Hodgeheg</w:t>
            </w:r>
            <w:proofErr w:type="spellEnd"/>
            <w:r w:rsidR="005151CA">
              <w:rPr>
                <w:rFonts w:cstheme="minorHAnsi"/>
              </w:rPr>
              <w:t xml:space="preserve">. </w:t>
            </w:r>
          </w:p>
          <w:p w14:paraId="4F170723" w14:textId="1992F20A" w:rsidR="00501CCA" w:rsidRPr="00027848" w:rsidRDefault="00501CCA" w:rsidP="00027848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 Year 3, pupils described the character of Om (a Stone Age child) from the first-person perspective of a 21</w:t>
            </w:r>
            <w:r w:rsidRPr="00501CC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century child. This was inspired by the text: Stone Age Boy.</w:t>
            </w:r>
          </w:p>
        </w:tc>
      </w:tr>
      <w:tr w:rsidR="000B194D" w:rsidRPr="00866D32" w14:paraId="3872DBC4" w14:textId="77777777" w:rsidTr="001035DA">
        <w:trPr>
          <w:trHeight w:val="804"/>
        </w:trPr>
        <w:tc>
          <w:tcPr>
            <w:tcW w:w="1318" w:type="dxa"/>
            <w:shd w:val="clear" w:color="auto" w:fill="F7CAAC" w:themeFill="accent2" w:themeFillTint="66"/>
          </w:tcPr>
          <w:p w14:paraId="50E08586" w14:textId="77777777" w:rsidR="000B194D" w:rsidRDefault="000B194D" w:rsidP="000B19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Text Type Features </w:t>
            </w:r>
          </w:p>
          <w:p w14:paraId="0B6DB3C3" w14:textId="506F5014" w:rsidR="000B194D" w:rsidRPr="00866D32" w:rsidRDefault="000B194D" w:rsidP="000B19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(Character Description)</w:t>
            </w:r>
          </w:p>
        </w:tc>
        <w:tc>
          <w:tcPr>
            <w:tcW w:w="14843" w:type="dxa"/>
          </w:tcPr>
          <w:p w14:paraId="23B59645" w14:textId="77777777" w:rsidR="000B194D" w:rsidRPr="00991304" w:rsidRDefault="000B194D" w:rsidP="000B19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u w:val="single"/>
              </w:rPr>
            </w:pPr>
            <w:r w:rsidRPr="0060508A">
              <w:rPr>
                <w:szCs w:val="20"/>
              </w:rPr>
              <w:t xml:space="preserve">A character description is written in an informal style. </w:t>
            </w:r>
          </w:p>
          <w:p w14:paraId="08529A27" w14:textId="77777777" w:rsidR="000B194D" w:rsidRPr="0060508A" w:rsidRDefault="000B194D" w:rsidP="000B19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u w:val="single"/>
              </w:rPr>
            </w:pPr>
            <w:r>
              <w:t xml:space="preserve">A character description is a passage of text which specifically outlines what your character looks like and details their personality traits too. </w:t>
            </w:r>
          </w:p>
          <w:p w14:paraId="0A96060D" w14:textId="13789D40" w:rsidR="000B194D" w:rsidRPr="000B194D" w:rsidRDefault="000B194D" w:rsidP="000B19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cstheme="minorHAnsi"/>
                <w:u w:val="single"/>
              </w:rPr>
            </w:pPr>
            <w:r w:rsidRPr="000B194D">
              <w:rPr>
                <w:rFonts w:cstheme="minorHAnsi"/>
              </w:rPr>
              <w:t>It includes expanded noun phrases</w:t>
            </w:r>
            <w:r w:rsidR="001F0DAD">
              <w:rPr>
                <w:rFonts w:cstheme="minorHAnsi"/>
              </w:rPr>
              <w:t>, fronted adverbials and conjunctions</w:t>
            </w:r>
            <w:r w:rsidRPr="000B194D">
              <w:rPr>
                <w:rFonts w:cstheme="minorHAnsi"/>
              </w:rPr>
              <w:t xml:space="preserve"> in order to describe the character’s appearance and actions.</w:t>
            </w:r>
          </w:p>
        </w:tc>
      </w:tr>
      <w:tr w:rsidR="00116632" w:rsidRPr="00866D32" w14:paraId="7D778624" w14:textId="77777777" w:rsidTr="005E78A9">
        <w:trPr>
          <w:trHeight w:val="699"/>
        </w:trPr>
        <w:tc>
          <w:tcPr>
            <w:tcW w:w="1318" w:type="dxa"/>
            <w:shd w:val="clear" w:color="auto" w:fill="F7CAAC" w:themeFill="accent2" w:themeFillTint="66"/>
          </w:tcPr>
          <w:p w14:paraId="3E3E4EEE" w14:textId="77777777" w:rsidR="00116632" w:rsidRDefault="00116632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lastRenderedPageBreak/>
              <w:t>Sticky Knowledge</w:t>
            </w:r>
          </w:p>
          <w:p w14:paraId="3EE2F861" w14:textId="203447C8" w:rsidR="00116632" w:rsidRPr="00866D32" w:rsidRDefault="00116632" w:rsidP="00F60B6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843" w:type="dxa"/>
          </w:tcPr>
          <w:p w14:paraId="65B3E4EE" w14:textId="79761406" w:rsidR="00842604" w:rsidRDefault="00842604" w:rsidP="007C7FFE">
            <w:pPr>
              <w:spacing w:line="276" w:lineRule="auto"/>
            </w:pPr>
            <w:r w:rsidRPr="00842604">
              <w:t>During the autumn term, time is spent revisiting key sticky knowledge from previous year groups to ensure this is secure before building on this</w:t>
            </w:r>
            <w:r w:rsidR="00FC208E">
              <w:t xml:space="preserve">. </w:t>
            </w:r>
            <w:r w:rsidRPr="00842604">
              <w:t xml:space="preserve"> </w:t>
            </w:r>
          </w:p>
          <w:p w14:paraId="0B73262B" w14:textId="28EEA16F" w:rsidR="00116632" w:rsidRDefault="00116632" w:rsidP="007C7FFE">
            <w:pPr>
              <w:spacing w:line="276" w:lineRule="auto"/>
            </w:pPr>
            <w:r>
              <w:t>The children will learn:</w:t>
            </w:r>
          </w:p>
          <w:p w14:paraId="0F4B168B" w14:textId="03214E05" w:rsidR="00F51A81" w:rsidRPr="00BF6EAA" w:rsidRDefault="00F51A81" w:rsidP="00853991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BF6EAA">
              <w:t>An adverb is a word that gives more meaning to a verb by adding details about how (manner), when (time), where (place) or how often something happens (frequency). They can also be used to mod</w:t>
            </w:r>
            <w:r w:rsidR="0025305F">
              <w:t>ify</w:t>
            </w:r>
            <w:r w:rsidRPr="00BF6EAA">
              <w:t xml:space="preserve"> adjectives (Year 3 Revision)</w:t>
            </w:r>
            <w:r w:rsidR="00C4580B">
              <w:t xml:space="preserve">. </w:t>
            </w:r>
          </w:p>
          <w:p w14:paraId="4FD5D33C" w14:textId="77777777" w:rsidR="00F51A81" w:rsidRPr="00BF6EAA" w:rsidRDefault="00F51A81" w:rsidP="00853991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BF6EAA">
              <w:t xml:space="preserve">An adverbial phrase is two or more words that tell us more about a verb or an adjective. They work like adverbs. They give us more information about how, when or where something happens – manner, time, place. </w:t>
            </w:r>
          </w:p>
          <w:p w14:paraId="754BEBB9" w14:textId="21086D6C" w:rsidR="00F51A81" w:rsidRDefault="00F51A81" w:rsidP="00853991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BF6EAA">
              <w:t>A fronted adverbial is followed by a comma to separate it from the main clause of the sentence.</w:t>
            </w:r>
          </w:p>
          <w:p w14:paraId="685DA96A" w14:textId="77777777" w:rsidR="00853991" w:rsidRDefault="00853991" w:rsidP="00853991">
            <w:pPr>
              <w:pStyle w:val="ListParagraph"/>
              <w:numPr>
                <w:ilvl w:val="0"/>
                <w:numId w:val="12"/>
              </w:numPr>
            </w:pPr>
            <w:r w:rsidRPr="00853991">
              <w:t>A subordinating conjunction links a main clause and a subordinate clause together. The subordinate clause can be manipulated to change position within the sentence.</w:t>
            </w:r>
            <w:r>
              <w:t xml:space="preserve"> </w:t>
            </w:r>
          </w:p>
          <w:p w14:paraId="6E923A14" w14:textId="5D35A92D" w:rsidR="000856C5" w:rsidRPr="000856C5" w:rsidRDefault="00853991" w:rsidP="000856C5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0856C5">
              <w:t xml:space="preserve">An expanded noun phrase is the development of a noun phrase, which starts with a determiner. It includes an adjective or list of adjectives (purposeful), and can be extended with a prepositional phrase. </w:t>
            </w:r>
            <w:r w:rsidR="005D5E57">
              <w:t>(Year 3 revision)</w:t>
            </w:r>
          </w:p>
          <w:p w14:paraId="245F777C" w14:textId="2F90CA6C" w:rsidR="00116632" w:rsidRPr="00785AB0" w:rsidRDefault="000856C5" w:rsidP="001F0DAD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0856C5">
              <w:t xml:space="preserve">The use of short, snappy sentences to create suspense and tension. </w:t>
            </w:r>
          </w:p>
        </w:tc>
      </w:tr>
      <w:tr w:rsidR="00AB3616" w:rsidRPr="00866D32" w14:paraId="01BD2D50" w14:textId="77777777" w:rsidTr="001035DA">
        <w:tc>
          <w:tcPr>
            <w:tcW w:w="1318" w:type="dxa"/>
            <w:shd w:val="clear" w:color="auto" w:fill="F7CAAC" w:themeFill="accent2" w:themeFillTint="66"/>
          </w:tcPr>
          <w:p w14:paraId="3ED854C6" w14:textId="77777777" w:rsidR="00AB3616" w:rsidRPr="00866D32" w:rsidRDefault="00AB3616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New Vocabulary</w:t>
            </w:r>
          </w:p>
        </w:tc>
        <w:tc>
          <w:tcPr>
            <w:tcW w:w="14843" w:type="dxa"/>
          </w:tcPr>
          <w:p w14:paraId="4EBBA0D9" w14:textId="31F7DD25" w:rsidR="004B0E6F" w:rsidRDefault="00AA3CFF" w:rsidP="0026569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f</w:t>
            </w:r>
            <w:r w:rsidR="00397973" w:rsidRPr="00AA3CFF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ronted ad</w:t>
            </w:r>
            <w:r w:rsidR="00EB1739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verbial </w:t>
            </w:r>
            <w:r w:rsidR="00EB1739" w:rsidRPr="00EB1739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– </w:t>
            </w:r>
            <w:r w:rsidR="009044B5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A </w:t>
            </w:r>
            <w:r w:rsidR="00EB1739" w:rsidRPr="00EB1739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fronted adverbial is a word (or a phrase for adverbial phrases) that is used for the same reason as adverbs, to modify a specific verb or clause</w:t>
            </w:r>
            <w:r w:rsidR="00F633D2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. </w:t>
            </w:r>
          </w:p>
          <w:p w14:paraId="17E0D660" w14:textId="3B60F062" w:rsidR="00BF6EAA" w:rsidRDefault="00BF6EAA" w:rsidP="0026569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BF6EAA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perspective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– a point of view </w:t>
            </w:r>
          </w:p>
          <w:p w14:paraId="7281FA86" w14:textId="1CC9D739" w:rsidR="00BF6EAA" w:rsidRDefault="00BF6EAA" w:rsidP="0026569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BF6EAA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encounter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– an unexpected meeting with someone</w:t>
            </w:r>
          </w:p>
          <w:p w14:paraId="523AFF3E" w14:textId="4FD7B9BF" w:rsidR="00CB51DE" w:rsidRDefault="00CB51DE" w:rsidP="0026569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00BF6EAA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vision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– an image of something</w:t>
            </w:r>
          </w:p>
          <w:p w14:paraId="21FDC4EE" w14:textId="1BBCEC87" w:rsidR="00BF6EAA" w:rsidRDefault="00BF6EAA" w:rsidP="0026569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sinuous 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– winding or curving</w:t>
            </w:r>
          </w:p>
          <w:p w14:paraId="39CAABF1" w14:textId="652657F8" w:rsidR="005D6669" w:rsidRDefault="005D6669" w:rsidP="0026569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spirit </w:t>
            </w:r>
            <w:r w:rsidR="00853991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–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</w:t>
            </w:r>
            <w:r w:rsidR="00853991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a ghost </w:t>
            </w:r>
            <w:r w:rsidR="00853991" w:rsidRPr="00853991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which shows itself to living people</w:t>
            </w:r>
          </w:p>
          <w:p w14:paraId="0B09BF9B" w14:textId="2F8ECF9F" w:rsidR="00265692" w:rsidRDefault="00265692" w:rsidP="00A36B9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  <w:t>extinguished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  <w:t xml:space="preserve"> – to be put out</w:t>
            </w:r>
          </w:p>
          <w:p w14:paraId="14BFC9D3" w14:textId="4FA886D9" w:rsidR="00FD184D" w:rsidRDefault="00FD184D" w:rsidP="00A36B9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  <w:t xml:space="preserve">vivid 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  <w:t>– intensely bright</w:t>
            </w:r>
          </w:p>
          <w:p w14:paraId="0C38FFE2" w14:textId="68BB4EA3" w:rsidR="00804C77" w:rsidRPr="004B0625" w:rsidRDefault="00FD184D" w:rsidP="00DC6FF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312" w:lineRule="auto"/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  <w:t xml:space="preserve">grotesquely </w:t>
            </w:r>
            <w:r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  <w:t>– in a re</w:t>
            </w:r>
            <w:r w:rsidRPr="00FD184D">
              <w:rPr>
                <w:rFonts w:asciiTheme="minorHAnsi" w:eastAsiaTheme="minorEastAsia" w:hAnsiTheme="minorHAnsi" w:cstheme="minorHAnsi"/>
                <w:bCs/>
                <w:color w:val="000000" w:themeColor="text1"/>
                <w:kern w:val="24"/>
                <w:sz w:val="22"/>
                <w:szCs w:val="22"/>
                <w:lang w:val="en-US" w:eastAsia="en-US"/>
              </w:rPr>
              <w:t>pulsively ugly manner</w:t>
            </w:r>
          </w:p>
        </w:tc>
      </w:tr>
      <w:tr w:rsidR="00AB3616" w:rsidRPr="00866D32" w14:paraId="360495D4" w14:textId="77777777" w:rsidTr="001035DA">
        <w:tc>
          <w:tcPr>
            <w:tcW w:w="1318" w:type="dxa"/>
            <w:shd w:val="clear" w:color="auto" w:fill="F7CAAC" w:themeFill="accent2" w:themeFillTint="66"/>
          </w:tcPr>
          <w:p w14:paraId="51800FFB" w14:textId="77777777" w:rsidR="00AB3616" w:rsidRPr="00866D32" w:rsidRDefault="00AB3616" w:rsidP="00AB3616">
            <w:pPr>
              <w:jc w:val="center"/>
              <w:rPr>
                <w:rFonts w:cstheme="minorHAnsi"/>
                <w:b/>
              </w:rPr>
            </w:pPr>
            <w:r w:rsidRPr="00866D32">
              <w:rPr>
                <w:rFonts w:cstheme="minorHAnsi"/>
                <w:b/>
              </w:rPr>
              <w:t>Post Learning</w:t>
            </w:r>
          </w:p>
        </w:tc>
        <w:tc>
          <w:tcPr>
            <w:tcW w:w="14843" w:type="dxa"/>
          </w:tcPr>
          <w:p w14:paraId="4AF2E273" w14:textId="13C8E381" w:rsidR="009A7B5B" w:rsidRPr="00842604" w:rsidRDefault="009019D2" w:rsidP="008426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42604">
              <w:rPr>
                <w:rFonts w:cstheme="minorHAnsi"/>
              </w:rPr>
              <w:t xml:space="preserve">In Year 5, pupils will invent and then write a </w:t>
            </w:r>
            <w:r w:rsidR="00BC1B1F" w:rsidRPr="00842604">
              <w:rPr>
                <w:rFonts w:cstheme="minorHAnsi"/>
              </w:rPr>
              <w:t xml:space="preserve">character </w:t>
            </w:r>
            <w:r w:rsidRPr="00842604">
              <w:rPr>
                <w:rFonts w:cstheme="minorHAnsi"/>
              </w:rPr>
              <w:t xml:space="preserve">description </w:t>
            </w:r>
            <w:r w:rsidR="00F85C25" w:rsidRPr="00842604">
              <w:rPr>
                <w:rFonts w:cstheme="minorHAnsi"/>
              </w:rPr>
              <w:t>of the final (and undeserving) Golden Ticket winner</w:t>
            </w:r>
            <w:r w:rsidR="00C726BB">
              <w:rPr>
                <w:rFonts w:cstheme="minorHAnsi"/>
              </w:rPr>
              <w:t>. This will be</w:t>
            </w:r>
            <w:r w:rsidR="00F85C25" w:rsidRPr="00842604">
              <w:rPr>
                <w:rFonts w:cstheme="minorHAnsi"/>
              </w:rPr>
              <w:t xml:space="preserve"> inspired by the text: Charlie and the Chocolate Factory. </w:t>
            </w:r>
          </w:p>
          <w:p w14:paraId="50B344A5" w14:textId="33CC77A7" w:rsidR="00BC1B1F" w:rsidRPr="00842604" w:rsidRDefault="00BC1B1F" w:rsidP="008426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42604">
              <w:rPr>
                <w:rFonts w:cstheme="minorHAnsi"/>
              </w:rPr>
              <w:t xml:space="preserve">In Year 5, pupils will describe the character of Grendel during the duel between Grendel and Beowulf in the summer term. This </w:t>
            </w:r>
            <w:r w:rsidR="00347AB4">
              <w:rPr>
                <w:rFonts w:cstheme="minorHAnsi"/>
              </w:rPr>
              <w:t>will be</w:t>
            </w:r>
            <w:r w:rsidRPr="00842604">
              <w:rPr>
                <w:rFonts w:cstheme="minorHAnsi"/>
              </w:rPr>
              <w:t xml:space="preserve"> inspired by the text: Beowulf. </w:t>
            </w:r>
          </w:p>
          <w:p w14:paraId="38F1F9B0" w14:textId="671E7A4C" w:rsidR="00804C77" w:rsidRPr="00842604" w:rsidRDefault="00BC1B1F" w:rsidP="0084260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842604">
              <w:rPr>
                <w:rFonts w:cstheme="minorHAnsi"/>
              </w:rPr>
              <w:t xml:space="preserve">In Year 6, in the spring term, pupils will </w:t>
            </w:r>
            <w:r w:rsidRPr="00842604">
              <w:rPr>
                <w:rFonts w:ascii="Calibri" w:hAnsi="Calibri" w:cs="Calibri"/>
              </w:rPr>
              <w:t>describe the character of Lady Macbeth from the perspective of a witch to express her appearance and key characteristics</w:t>
            </w:r>
            <w:r w:rsidR="00B4480F">
              <w:rPr>
                <w:rFonts w:ascii="Calibri" w:hAnsi="Calibri" w:cs="Calibri"/>
              </w:rPr>
              <w:t xml:space="preserve">. This </w:t>
            </w:r>
            <w:r w:rsidR="00347AB4">
              <w:rPr>
                <w:rFonts w:ascii="Calibri" w:hAnsi="Calibri" w:cs="Calibri"/>
              </w:rPr>
              <w:t>will be</w:t>
            </w:r>
            <w:r w:rsidRPr="00842604">
              <w:rPr>
                <w:rFonts w:ascii="Calibri" w:hAnsi="Calibri" w:cs="Calibri"/>
              </w:rPr>
              <w:t xml:space="preserve"> inspired by the text: Macbeth. </w:t>
            </w:r>
            <w:r w:rsidR="00A81162">
              <w:rPr>
                <w:rFonts w:ascii="Calibri" w:hAnsi="Calibri" w:cs="Calibri"/>
              </w:rPr>
              <w:t xml:space="preserve"> </w:t>
            </w:r>
          </w:p>
        </w:tc>
      </w:tr>
    </w:tbl>
    <w:p w14:paraId="68F4A507" w14:textId="77777777" w:rsidR="00AB3616" w:rsidRDefault="00AB3616"/>
    <w:sectPr w:rsidR="00AB3616" w:rsidSect="001E1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3A8"/>
    <w:multiLevelType w:val="hybridMultilevel"/>
    <w:tmpl w:val="E6B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5489"/>
    <w:multiLevelType w:val="hybridMultilevel"/>
    <w:tmpl w:val="8B584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1F01"/>
    <w:multiLevelType w:val="hybridMultilevel"/>
    <w:tmpl w:val="0C6616E2"/>
    <w:lvl w:ilvl="0" w:tplc="6A06E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22E9"/>
    <w:multiLevelType w:val="hybridMultilevel"/>
    <w:tmpl w:val="12964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3249"/>
    <w:multiLevelType w:val="hybridMultilevel"/>
    <w:tmpl w:val="7BF26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7F64"/>
    <w:multiLevelType w:val="hybridMultilevel"/>
    <w:tmpl w:val="951C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3C2D"/>
    <w:multiLevelType w:val="hybridMultilevel"/>
    <w:tmpl w:val="B32C50CC"/>
    <w:lvl w:ilvl="0" w:tplc="0E7ADC8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125BB"/>
    <w:multiLevelType w:val="hybridMultilevel"/>
    <w:tmpl w:val="3D90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6486"/>
    <w:multiLevelType w:val="hybridMultilevel"/>
    <w:tmpl w:val="8D2E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DFD"/>
    <w:multiLevelType w:val="hybridMultilevel"/>
    <w:tmpl w:val="1BC81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605D"/>
    <w:multiLevelType w:val="hybridMultilevel"/>
    <w:tmpl w:val="A556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F05"/>
    <w:multiLevelType w:val="hybridMultilevel"/>
    <w:tmpl w:val="0974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2D2"/>
    <w:multiLevelType w:val="hybridMultilevel"/>
    <w:tmpl w:val="A36E4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476CA"/>
    <w:multiLevelType w:val="hybridMultilevel"/>
    <w:tmpl w:val="DC5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60A9B"/>
    <w:multiLevelType w:val="hybridMultilevel"/>
    <w:tmpl w:val="FC48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61959"/>
    <w:multiLevelType w:val="hybridMultilevel"/>
    <w:tmpl w:val="67C46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A2D2C"/>
    <w:multiLevelType w:val="hybridMultilevel"/>
    <w:tmpl w:val="7C92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84A2E"/>
    <w:multiLevelType w:val="hybridMultilevel"/>
    <w:tmpl w:val="0AC8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12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23EAE"/>
    <w:rsid w:val="0002599B"/>
    <w:rsid w:val="00027848"/>
    <w:rsid w:val="0005477D"/>
    <w:rsid w:val="00070A57"/>
    <w:rsid w:val="00077EC3"/>
    <w:rsid w:val="00082C00"/>
    <w:rsid w:val="000839CA"/>
    <w:rsid w:val="000856C5"/>
    <w:rsid w:val="000A581E"/>
    <w:rsid w:val="000A7443"/>
    <w:rsid w:val="000B0802"/>
    <w:rsid w:val="000B194D"/>
    <w:rsid w:val="000C14E6"/>
    <w:rsid w:val="000E377D"/>
    <w:rsid w:val="000E5856"/>
    <w:rsid w:val="000E6596"/>
    <w:rsid w:val="000E6E07"/>
    <w:rsid w:val="000F56E6"/>
    <w:rsid w:val="001005E6"/>
    <w:rsid w:val="001035DA"/>
    <w:rsid w:val="00116632"/>
    <w:rsid w:val="0013165B"/>
    <w:rsid w:val="0014117F"/>
    <w:rsid w:val="00153907"/>
    <w:rsid w:val="001617B4"/>
    <w:rsid w:val="0018695D"/>
    <w:rsid w:val="001908D0"/>
    <w:rsid w:val="0019555B"/>
    <w:rsid w:val="001B3296"/>
    <w:rsid w:val="001B7F58"/>
    <w:rsid w:val="001C02F6"/>
    <w:rsid w:val="001C12DB"/>
    <w:rsid w:val="001E1256"/>
    <w:rsid w:val="001E1EDC"/>
    <w:rsid w:val="001E55A8"/>
    <w:rsid w:val="001E7D76"/>
    <w:rsid w:val="001F0DAD"/>
    <w:rsid w:val="001F34EB"/>
    <w:rsid w:val="00205330"/>
    <w:rsid w:val="00220B75"/>
    <w:rsid w:val="002348B8"/>
    <w:rsid w:val="00244C4D"/>
    <w:rsid w:val="00251AC7"/>
    <w:rsid w:val="0025305F"/>
    <w:rsid w:val="00265692"/>
    <w:rsid w:val="00267103"/>
    <w:rsid w:val="002928FD"/>
    <w:rsid w:val="002A7948"/>
    <w:rsid w:val="002B2FEC"/>
    <w:rsid w:val="002B3E3A"/>
    <w:rsid w:val="002B78F2"/>
    <w:rsid w:val="002C65C2"/>
    <w:rsid w:val="002E4F0A"/>
    <w:rsid w:val="002E5A8C"/>
    <w:rsid w:val="002F547B"/>
    <w:rsid w:val="003010D5"/>
    <w:rsid w:val="00320F9C"/>
    <w:rsid w:val="0032298F"/>
    <w:rsid w:val="00322FA9"/>
    <w:rsid w:val="003319A7"/>
    <w:rsid w:val="00347AB4"/>
    <w:rsid w:val="00355786"/>
    <w:rsid w:val="00355906"/>
    <w:rsid w:val="00360A6F"/>
    <w:rsid w:val="00362AA4"/>
    <w:rsid w:val="00367E5A"/>
    <w:rsid w:val="00395EB2"/>
    <w:rsid w:val="00397973"/>
    <w:rsid w:val="003A5A4B"/>
    <w:rsid w:val="003A74A4"/>
    <w:rsid w:val="003A7EC8"/>
    <w:rsid w:val="003B0A44"/>
    <w:rsid w:val="003B7C78"/>
    <w:rsid w:val="003C4EA7"/>
    <w:rsid w:val="003C593D"/>
    <w:rsid w:val="003D00C1"/>
    <w:rsid w:val="00403B30"/>
    <w:rsid w:val="00406D29"/>
    <w:rsid w:val="00410939"/>
    <w:rsid w:val="00413C22"/>
    <w:rsid w:val="004302E0"/>
    <w:rsid w:val="00430B09"/>
    <w:rsid w:val="00441DEC"/>
    <w:rsid w:val="00445D86"/>
    <w:rsid w:val="00445E7C"/>
    <w:rsid w:val="00450154"/>
    <w:rsid w:val="0045316F"/>
    <w:rsid w:val="004605DC"/>
    <w:rsid w:val="0047710D"/>
    <w:rsid w:val="004952D8"/>
    <w:rsid w:val="004A2C04"/>
    <w:rsid w:val="004A5ED4"/>
    <w:rsid w:val="004B0625"/>
    <w:rsid w:val="004B0E6F"/>
    <w:rsid w:val="004B137E"/>
    <w:rsid w:val="004D40B2"/>
    <w:rsid w:val="004E610E"/>
    <w:rsid w:val="004F541A"/>
    <w:rsid w:val="004F6108"/>
    <w:rsid w:val="00501CCA"/>
    <w:rsid w:val="00503690"/>
    <w:rsid w:val="00504262"/>
    <w:rsid w:val="00505CBC"/>
    <w:rsid w:val="005151CA"/>
    <w:rsid w:val="00522686"/>
    <w:rsid w:val="0052289E"/>
    <w:rsid w:val="00525369"/>
    <w:rsid w:val="00531DE8"/>
    <w:rsid w:val="00531F81"/>
    <w:rsid w:val="00540EBD"/>
    <w:rsid w:val="00543C4D"/>
    <w:rsid w:val="0055222E"/>
    <w:rsid w:val="00590186"/>
    <w:rsid w:val="00592DE2"/>
    <w:rsid w:val="005A142D"/>
    <w:rsid w:val="005A36E3"/>
    <w:rsid w:val="005B4F94"/>
    <w:rsid w:val="005C3685"/>
    <w:rsid w:val="005C40B0"/>
    <w:rsid w:val="005D5E57"/>
    <w:rsid w:val="005D6669"/>
    <w:rsid w:val="005E4B64"/>
    <w:rsid w:val="005E78A9"/>
    <w:rsid w:val="005F663B"/>
    <w:rsid w:val="00604C04"/>
    <w:rsid w:val="00605C75"/>
    <w:rsid w:val="006071BD"/>
    <w:rsid w:val="00624299"/>
    <w:rsid w:val="0063246C"/>
    <w:rsid w:val="00646F5B"/>
    <w:rsid w:val="006543E8"/>
    <w:rsid w:val="00671F25"/>
    <w:rsid w:val="00693C50"/>
    <w:rsid w:val="00694442"/>
    <w:rsid w:val="006D38C5"/>
    <w:rsid w:val="006D7F06"/>
    <w:rsid w:val="006E384C"/>
    <w:rsid w:val="006E4814"/>
    <w:rsid w:val="007008E8"/>
    <w:rsid w:val="007058AB"/>
    <w:rsid w:val="00707339"/>
    <w:rsid w:val="007123CE"/>
    <w:rsid w:val="00723126"/>
    <w:rsid w:val="00727BD1"/>
    <w:rsid w:val="0073128A"/>
    <w:rsid w:val="00731534"/>
    <w:rsid w:val="00737DD3"/>
    <w:rsid w:val="00741127"/>
    <w:rsid w:val="007435BA"/>
    <w:rsid w:val="007456FD"/>
    <w:rsid w:val="00771B5F"/>
    <w:rsid w:val="007728B9"/>
    <w:rsid w:val="0077513F"/>
    <w:rsid w:val="007801F6"/>
    <w:rsid w:val="00784B44"/>
    <w:rsid w:val="00785AB0"/>
    <w:rsid w:val="0078701A"/>
    <w:rsid w:val="00792E3D"/>
    <w:rsid w:val="00795AAE"/>
    <w:rsid w:val="00795C77"/>
    <w:rsid w:val="007A0FBF"/>
    <w:rsid w:val="007A18B9"/>
    <w:rsid w:val="007A2366"/>
    <w:rsid w:val="007B2EA6"/>
    <w:rsid w:val="007B6E99"/>
    <w:rsid w:val="007C1C83"/>
    <w:rsid w:val="007C2BFB"/>
    <w:rsid w:val="007C7FFE"/>
    <w:rsid w:val="007E024C"/>
    <w:rsid w:val="007F3650"/>
    <w:rsid w:val="00803292"/>
    <w:rsid w:val="00804C77"/>
    <w:rsid w:val="0080551C"/>
    <w:rsid w:val="00831883"/>
    <w:rsid w:val="00832B67"/>
    <w:rsid w:val="00841059"/>
    <w:rsid w:val="00842604"/>
    <w:rsid w:val="00845751"/>
    <w:rsid w:val="00853991"/>
    <w:rsid w:val="0085587C"/>
    <w:rsid w:val="00866D32"/>
    <w:rsid w:val="0087081D"/>
    <w:rsid w:val="00872787"/>
    <w:rsid w:val="00873982"/>
    <w:rsid w:val="00874CE4"/>
    <w:rsid w:val="00883C4E"/>
    <w:rsid w:val="00885B0C"/>
    <w:rsid w:val="00890796"/>
    <w:rsid w:val="00893D3D"/>
    <w:rsid w:val="008B14EC"/>
    <w:rsid w:val="008B6974"/>
    <w:rsid w:val="009019D2"/>
    <w:rsid w:val="009044B5"/>
    <w:rsid w:val="009065B9"/>
    <w:rsid w:val="00927372"/>
    <w:rsid w:val="00930B4A"/>
    <w:rsid w:val="00945538"/>
    <w:rsid w:val="00947AAA"/>
    <w:rsid w:val="00956380"/>
    <w:rsid w:val="00956918"/>
    <w:rsid w:val="00956C29"/>
    <w:rsid w:val="00967A15"/>
    <w:rsid w:val="009716B8"/>
    <w:rsid w:val="00971DD2"/>
    <w:rsid w:val="00971DE3"/>
    <w:rsid w:val="009740B7"/>
    <w:rsid w:val="00980B72"/>
    <w:rsid w:val="009844A2"/>
    <w:rsid w:val="00990095"/>
    <w:rsid w:val="00993944"/>
    <w:rsid w:val="009A6348"/>
    <w:rsid w:val="009A7B5B"/>
    <w:rsid w:val="009B221D"/>
    <w:rsid w:val="009B31FC"/>
    <w:rsid w:val="009C0058"/>
    <w:rsid w:val="009C384E"/>
    <w:rsid w:val="009C3882"/>
    <w:rsid w:val="009F002B"/>
    <w:rsid w:val="009F19B0"/>
    <w:rsid w:val="009F2061"/>
    <w:rsid w:val="009F5B7C"/>
    <w:rsid w:val="00A32833"/>
    <w:rsid w:val="00A35AEB"/>
    <w:rsid w:val="00A36B91"/>
    <w:rsid w:val="00A42F53"/>
    <w:rsid w:val="00A45D32"/>
    <w:rsid w:val="00A4742A"/>
    <w:rsid w:val="00A5790A"/>
    <w:rsid w:val="00A6289D"/>
    <w:rsid w:val="00A664E3"/>
    <w:rsid w:val="00A73370"/>
    <w:rsid w:val="00A737D3"/>
    <w:rsid w:val="00A761FF"/>
    <w:rsid w:val="00A81162"/>
    <w:rsid w:val="00AA3812"/>
    <w:rsid w:val="00AA3CFF"/>
    <w:rsid w:val="00AA4895"/>
    <w:rsid w:val="00AA5A2B"/>
    <w:rsid w:val="00AB24EE"/>
    <w:rsid w:val="00AB3616"/>
    <w:rsid w:val="00AC011E"/>
    <w:rsid w:val="00AC0D70"/>
    <w:rsid w:val="00AC1C70"/>
    <w:rsid w:val="00B02B03"/>
    <w:rsid w:val="00B02CA2"/>
    <w:rsid w:val="00B12FEA"/>
    <w:rsid w:val="00B20E4B"/>
    <w:rsid w:val="00B300F9"/>
    <w:rsid w:val="00B4114B"/>
    <w:rsid w:val="00B4480F"/>
    <w:rsid w:val="00B51738"/>
    <w:rsid w:val="00B64E81"/>
    <w:rsid w:val="00B84C38"/>
    <w:rsid w:val="00BA056B"/>
    <w:rsid w:val="00BB43C3"/>
    <w:rsid w:val="00BC1B1F"/>
    <w:rsid w:val="00BC287F"/>
    <w:rsid w:val="00BC4AE7"/>
    <w:rsid w:val="00BE7692"/>
    <w:rsid w:val="00BF6EAA"/>
    <w:rsid w:val="00C36FEB"/>
    <w:rsid w:val="00C4580B"/>
    <w:rsid w:val="00C674B7"/>
    <w:rsid w:val="00C726BB"/>
    <w:rsid w:val="00C768B7"/>
    <w:rsid w:val="00C80552"/>
    <w:rsid w:val="00C91621"/>
    <w:rsid w:val="00CA374A"/>
    <w:rsid w:val="00CA3D8E"/>
    <w:rsid w:val="00CB1F62"/>
    <w:rsid w:val="00CB43D0"/>
    <w:rsid w:val="00CB51DE"/>
    <w:rsid w:val="00CC77DA"/>
    <w:rsid w:val="00CD6A71"/>
    <w:rsid w:val="00CF2529"/>
    <w:rsid w:val="00CF593A"/>
    <w:rsid w:val="00D04652"/>
    <w:rsid w:val="00D04BB6"/>
    <w:rsid w:val="00D0595B"/>
    <w:rsid w:val="00D07EE4"/>
    <w:rsid w:val="00D24AB8"/>
    <w:rsid w:val="00D25447"/>
    <w:rsid w:val="00D43B6C"/>
    <w:rsid w:val="00D544E3"/>
    <w:rsid w:val="00D62B6A"/>
    <w:rsid w:val="00D65CD9"/>
    <w:rsid w:val="00D7067E"/>
    <w:rsid w:val="00DB565B"/>
    <w:rsid w:val="00DC0F8E"/>
    <w:rsid w:val="00DC6FF3"/>
    <w:rsid w:val="00DD1903"/>
    <w:rsid w:val="00DE1B8B"/>
    <w:rsid w:val="00DE4092"/>
    <w:rsid w:val="00E103D4"/>
    <w:rsid w:val="00E25121"/>
    <w:rsid w:val="00E25860"/>
    <w:rsid w:val="00E31630"/>
    <w:rsid w:val="00E33E1A"/>
    <w:rsid w:val="00E411EF"/>
    <w:rsid w:val="00E43438"/>
    <w:rsid w:val="00E56A09"/>
    <w:rsid w:val="00E718F3"/>
    <w:rsid w:val="00E75A7F"/>
    <w:rsid w:val="00E854E6"/>
    <w:rsid w:val="00E978BD"/>
    <w:rsid w:val="00E97939"/>
    <w:rsid w:val="00EB1739"/>
    <w:rsid w:val="00EB17F8"/>
    <w:rsid w:val="00EC329E"/>
    <w:rsid w:val="00EC349C"/>
    <w:rsid w:val="00EC79E2"/>
    <w:rsid w:val="00ED1469"/>
    <w:rsid w:val="00ED33F3"/>
    <w:rsid w:val="00ED489D"/>
    <w:rsid w:val="00EE438C"/>
    <w:rsid w:val="00EF43E6"/>
    <w:rsid w:val="00F133F9"/>
    <w:rsid w:val="00F409FA"/>
    <w:rsid w:val="00F4503C"/>
    <w:rsid w:val="00F45F21"/>
    <w:rsid w:val="00F50033"/>
    <w:rsid w:val="00F51A81"/>
    <w:rsid w:val="00F5235C"/>
    <w:rsid w:val="00F574C5"/>
    <w:rsid w:val="00F60B6A"/>
    <w:rsid w:val="00F633D2"/>
    <w:rsid w:val="00F75964"/>
    <w:rsid w:val="00F778B2"/>
    <w:rsid w:val="00F85C25"/>
    <w:rsid w:val="00F93E68"/>
    <w:rsid w:val="00F97A39"/>
    <w:rsid w:val="00FA1E66"/>
    <w:rsid w:val="00FB0F96"/>
    <w:rsid w:val="00FC208E"/>
    <w:rsid w:val="00FD184D"/>
    <w:rsid w:val="00FE31C5"/>
    <w:rsid w:val="00FE38A0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255AC"/>
  <w15:docId w15:val="{5C94F91B-59CC-4211-9B8C-CB2BF4C3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6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2EA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02F6"/>
    <w:rPr>
      <w:color w:val="0000FF"/>
      <w:u w:val="single"/>
    </w:rPr>
  </w:style>
  <w:style w:type="paragraph" w:customStyle="1" w:styleId="Default">
    <w:name w:val="Default"/>
    <w:rsid w:val="00077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Head Teacher</cp:lastModifiedBy>
  <cp:revision>2</cp:revision>
  <cp:lastPrinted>2021-03-04T11:21:00Z</cp:lastPrinted>
  <dcterms:created xsi:type="dcterms:W3CDTF">2023-01-05T17:05:00Z</dcterms:created>
  <dcterms:modified xsi:type="dcterms:W3CDTF">2023-01-05T17:05:00Z</dcterms:modified>
</cp:coreProperties>
</file>